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87205F">
        <w:rPr>
          <w:b/>
        </w:rPr>
        <w:t xml:space="preserve"> </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87205F" w:rsidRPr="0087205F" w:rsidRDefault="00A552DA" w:rsidP="005B17A6">
      <w:pPr>
        <w:pStyle w:val="ListeParagraf"/>
        <w:numPr>
          <w:ilvl w:val="0"/>
          <w:numId w:val="38"/>
        </w:numPr>
        <w:tabs>
          <w:tab w:val="left" w:pos="333"/>
        </w:tabs>
        <w:spacing w:before="149"/>
      </w:pPr>
      <w:r w:rsidRPr="0087205F">
        <w:rPr>
          <w:b/>
        </w:rPr>
        <w:t>Adı</w:t>
      </w:r>
      <w:r w:rsidR="007E57C3" w:rsidRPr="0087205F">
        <w:rPr>
          <w:b/>
        </w:rPr>
        <w:t>:</w:t>
      </w:r>
      <w:r w:rsidRPr="0087205F">
        <w:rPr>
          <w:b/>
        </w:rPr>
        <w:t xml:space="preserve"> </w:t>
      </w:r>
      <w:r w:rsidR="00C74B6D" w:rsidRPr="00363AD0">
        <w:rPr>
          <w:b/>
        </w:rPr>
        <w:t>50cc Perfüzör Enjektör ve İnfüzyon Pompa Seti Alım İhalesi</w:t>
      </w:r>
    </w:p>
    <w:p w:rsidR="00831AFB" w:rsidRPr="0077658F" w:rsidRDefault="00A552DA" w:rsidP="0087205F">
      <w:pPr>
        <w:pStyle w:val="ListeParagraf"/>
        <w:numPr>
          <w:ilvl w:val="0"/>
          <w:numId w:val="38"/>
        </w:numPr>
        <w:tabs>
          <w:tab w:val="left" w:pos="333"/>
        </w:tabs>
        <w:spacing w:before="149"/>
      </w:pPr>
      <w:r w:rsidRPr="0077658F">
        <w:t>Miktarı</w:t>
      </w:r>
      <w:r w:rsidRPr="0087205F">
        <w:rPr>
          <w:spacing w:val="-24"/>
        </w:rPr>
        <w:t xml:space="preserve"> </w:t>
      </w:r>
      <w:r w:rsidRPr="0077658F">
        <w:t>ve</w:t>
      </w:r>
      <w:r w:rsidRPr="0087205F">
        <w:rPr>
          <w:spacing w:val="-24"/>
        </w:rPr>
        <w:t xml:space="preserve"> </w:t>
      </w:r>
      <w:r w:rsidRPr="0077658F">
        <w:t>türü:</w:t>
      </w:r>
      <w:r w:rsidRPr="0087205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C74B6D">
        <w:rPr>
          <w:b/>
          <w:spacing w:val="-17"/>
          <w:w w:val="95"/>
        </w:rPr>
        <w:t>22</w:t>
      </w:r>
      <w:r w:rsidR="0077658F" w:rsidRPr="00F86D89">
        <w:rPr>
          <w:b/>
          <w:spacing w:val="-17"/>
          <w:w w:val="95"/>
        </w:rPr>
        <w:t>.</w:t>
      </w:r>
      <w:r w:rsidR="00225188">
        <w:rPr>
          <w:b/>
          <w:spacing w:val="-17"/>
          <w:w w:val="95"/>
        </w:rPr>
        <w:t>0</w:t>
      </w:r>
      <w:r w:rsidR="007F32B3">
        <w:rPr>
          <w:b/>
          <w:spacing w:val="-17"/>
          <w:w w:val="95"/>
        </w:rPr>
        <w:t>3</w:t>
      </w:r>
      <w:r w:rsidR="00296021" w:rsidRPr="00F86D89">
        <w:rPr>
          <w:b/>
          <w:spacing w:val="-17"/>
          <w:w w:val="95"/>
        </w:rPr>
        <w:t>.</w:t>
      </w:r>
      <w:r w:rsidR="00225188">
        <w:rPr>
          <w:b/>
          <w:spacing w:val="-17"/>
          <w:w w:val="95"/>
        </w:rPr>
        <w:t>2025</w:t>
      </w:r>
      <w:r w:rsidR="005B17A6">
        <w:rPr>
          <w:b/>
          <w:spacing w:val="-17"/>
          <w:w w:val="95"/>
        </w:rPr>
        <w:t xml:space="preserve">  - 12:0</w:t>
      </w:r>
      <w:r w:rsidR="00F86D89" w:rsidRPr="00F86D89">
        <w:rPr>
          <w:b/>
          <w:spacing w:val="-17"/>
          <w:w w:val="95"/>
        </w:rPr>
        <w:t>0</w:t>
      </w:r>
    </w:p>
    <w:p w:rsidR="00831AFB" w:rsidRPr="00583287" w:rsidRDefault="00A552DA">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C74B6D">
        <w:rPr>
          <w:b/>
        </w:rPr>
        <w:t xml:space="preserve"> 24</w:t>
      </w:r>
      <w:r w:rsidR="007F32B3">
        <w:rPr>
          <w:b/>
        </w:rPr>
        <w:t>.03</w:t>
      </w:r>
      <w:r w:rsidR="00225188">
        <w:rPr>
          <w:b/>
        </w:rPr>
        <w:t>.2025</w:t>
      </w:r>
      <w:r w:rsidR="00F86D89">
        <w:rPr>
          <w:b/>
        </w:rPr>
        <w:t xml:space="preserve"> – </w:t>
      </w:r>
      <w:r w:rsidR="005B17A6">
        <w:rPr>
          <w:b/>
          <w:spacing w:val="-22"/>
        </w:rPr>
        <w:t>09:3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enin adresinde görülebilir ve 5</w:t>
      </w:r>
      <w:r w:rsidR="00CD18A1">
        <w:t>.</w:t>
      </w:r>
      <w:r w:rsidR="0077658F">
        <w:t>0</w:t>
      </w:r>
      <w:r w:rsidR="00417371" w:rsidRPr="00583287">
        <w:t>00</w:t>
      </w:r>
      <w:r w:rsidR="005B17A6">
        <w:t xml:space="preserve"> TL</w:t>
      </w:r>
      <w:r w:rsidRPr="00583287">
        <w:t xml:space="preserve">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5B17A6">
      <w:pPr>
        <w:pStyle w:val="ListeParagraf"/>
        <w:numPr>
          <w:ilvl w:val="0"/>
          <w:numId w:val="31"/>
        </w:numPr>
        <w:tabs>
          <w:tab w:val="left" w:pos="331"/>
        </w:tabs>
        <w:spacing w:before="193"/>
        <w:ind w:left="330" w:hanging="214"/>
      </w:pPr>
      <w:r>
        <w:rPr>
          <w:w w:val="85"/>
        </w:rPr>
        <w:t>Fiyat Teklif Cetveli</w:t>
      </w:r>
      <w:r w:rsidR="00A552DA" w:rsidRPr="00583287">
        <w:rPr>
          <w:w w:val="85"/>
        </w:rPr>
        <w:t>.</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Pr>
          <w:w w:val="95"/>
        </w:rPr>
        <w:t xml:space="preserve">. </w:t>
      </w:r>
      <w:r w:rsidR="00847375" w:rsidRPr="00956067">
        <w:rPr>
          <w:w w:val="95"/>
        </w:rPr>
        <w:t xml:space="preserve">Geçici teminat </w:t>
      </w:r>
      <w:r w:rsidR="0087205F">
        <w:rPr>
          <w:w w:val="95"/>
        </w:rPr>
        <w:t>alınmayacaktır.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7205F" w:rsidRDefault="0087205F">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87205F">
        <w:rPr>
          <w:w w:val="95"/>
        </w:rPr>
        <w:t>Kesin teminat alınmayacaktır.</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225188" w:rsidRDefault="00225188" w:rsidP="0087205F"/>
    <w:p w:rsidR="0087205F" w:rsidRDefault="0087205F" w:rsidP="0087205F"/>
    <w:p w:rsidR="0087205F" w:rsidRPr="00583287" w:rsidRDefault="0087205F" w:rsidP="0087205F"/>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A704C7" w:rsidRDefault="00A552DA" w:rsidP="00A704C7">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225188" w:rsidRDefault="00A704C7" w:rsidP="00A704C7">
      <w:pPr>
        <w:pStyle w:val="ListeParagraf"/>
        <w:numPr>
          <w:ilvl w:val="0"/>
          <w:numId w:val="1"/>
        </w:numPr>
        <w:tabs>
          <w:tab w:val="left" w:pos="347"/>
        </w:tabs>
        <w:spacing w:before="193"/>
        <w:ind w:left="346" w:hanging="230"/>
      </w:pPr>
      <w:r>
        <w:t>155 adet İnfüzyon pompa seti ve 136 adet Enjektomat pompası cihazının Kalibrasyon, Bakım ve Onarım Maliyetleri Yükleniciye ait olacaktır.</w:t>
      </w: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bookmarkStart w:id="0" w:name="_GoBack"/>
      <w:bookmarkEnd w:id="0"/>
    </w:p>
    <w:p w:rsidR="0087205F" w:rsidRDefault="0087205F" w:rsidP="00DC161D">
      <w:pPr>
        <w:tabs>
          <w:tab w:val="left" w:pos="347"/>
        </w:tabs>
        <w:spacing w:before="193"/>
      </w:pPr>
    </w:p>
    <w:p w:rsidR="0087205F" w:rsidRDefault="0087205F" w:rsidP="00DC161D">
      <w:pPr>
        <w:tabs>
          <w:tab w:val="left" w:pos="347"/>
        </w:tabs>
        <w:spacing w:before="193"/>
      </w:pPr>
    </w:p>
    <w:p w:rsidR="0087205F" w:rsidRDefault="0087205F"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87205F">
              <w:t>2026</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14" w:rsidRDefault="007D3514" w:rsidP="003B4CF5">
      <w:r>
        <w:separator/>
      </w:r>
    </w:p>
  </w:endnote>
  <w:endnote w:type="continuationSeparator" w:id="0">
    <w:p w:rsidR="007D3514" w:rsidRDefault="007D3514"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14" w:rsidRDefault="007D3514" w:rsidP="003B4CF5">
      <w:r>
        <w:separator/>
      </w:r>
    </w:p>
  </w:footnote>
  <w:footnote w:type="continuationSeparator" w:id="0">
    <w:p w:rsidR="007D3514" w:rsidRDefault="007D3514"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B30FD"/>
    <w:rsid w:val="000B4DC1"/>
    <w:rsid w:val="000B62DE"/>
    <w:rsid w:val="000F3A42"/>
    <w:rsid w:val="00106D71"/>
    <w:rsid w:val="00152076"/>
    <w:rsid w:val="00152958"/>
    <w:rsid w:val="001B43C3"/>
    <w:rsid w:val="002069BD"/>
    <w:rsid w:val="00225188"/>
    <w:rsid w:val="00232B17"/>
    <w:rsid w:val="00243FC3"/>
    <w:rsid w:val="002670D1"/>
    <w:rsid w:val="0029179A"/>
    <w:rsid w:val="00296021"/>
    <w:rsid w:val="002B68F8"/>
    <w:rsid w:val="003456D0"/>
    <w:rsid w:val="003B4CF5"/>
    <w:rsid w:val="003B6801"/>
    <w:rsid w:val="003D68E0"/>
    <w:rsid w:val="00417371"/>
    <w:rsid w:val="00454636"/>
    <w:rsid w:val="005043FC"/>
    <w:rsid w:val="00580A61"/>
    <w:rsid w:val="00583287"/>
    <w:rsid w:val="005B17A6"/>
    <w:rsid w:val="005B18DA"/>
    <w:rsid w:val="005B245E"/>
    <w:rsid w:val="00615065"/>
    <w:rsid w:val="0066617F"/>
    <w:rsid w:val="0068485A"/>
    <w:rsid w:val="006A30DB"/>
    <w:rsid w:val="006E352C"/>
    <w:rsid w:val="006E6FC7"/>
    <w:rsid w:val="006F0052"/>
    <w:rsid w:val="007059EB"/>
    <w:rsid w:val="00771F3F"/>
    <w:rsid w:val="0077563D"/>
    <w:rsid w:val="0077658F"/>
    <w:rsid w:val="00790DA0"/>
    <w:rsid w:val="00796C90"/>
    <w:rsid w:val="007C25F5"/>
    <w:rsid w:val="007C5D63"/>
    <w:rsid w:val="007D3514"/>
    <w:rsid w:val="007D5D7A"/>
    <w:rsid w:val="007E57C3"/>
    <w:rsid w:val="007F32B3"/>
    <w:rsid w:val="007F75A4"/>
    <w:rsid w:val="00806CDA"/>
    <w:rsid w:val="00831AFB"/>
    <w:rsid w:val="00847375"/>
    <w:rsid w:val="0087205F"/>
    <w:rsid w:val="008911C8"/>
    <w:rsid w:val="009010AD"/>
    <w:rsid w:val="00940211"/>
    <w:rsid w:val="00982A19"/>
    <w:rsid w:val="009D4425"/>
    <w:rsid w:val="00A03D12"/>
    <w:rsid w:val="00A2153B"/>
    <w:rsid w:val="00A552DA"/>
    <w:rsid w:val="00A704C7"/>
    <w:rsid w:val="00A76A2C"/>
    <w:rsid w:val="00A83228"/>
    <w:rsid w:val="00AD4B4B"/>
    <w:rsid w:val="00B03F04"/>
    <w:rsid w:val="00B12F6E"/>
    <w:rsid w:val="00C74B6D"/>
    <w:rsid w:val="00C91720"/>
    <w:rsid w:val="00CB6DD0"/>
    <w:rsid w:val="00CD18A1"/>
    <w:rsid w:val="00CF4913"/>
    <w:rsid w:val="00D26823"/>
    <w:rsid w:val="00D37B2F"/>
    <w:rsid w:val="00D54625"/>
    <w:rsid w:val="00D67159"/>
    <w:rsid w:val="00D67851"/>
    <w:rsid w:val="00D91A06"/>
    <w:rsid w:val="00DB6138"/>
    <w:rsid w:val="00DC161D"/>
    <w:rsid w:val="00E33A35"/>
    <w:rsid w:val="00E96BDC"/>
    <w:rsid w:val="00ED525B"/>
    <w:rsid w:val="00F04D0E"/>
    <w:rsid w:val="00F438BE"/>
    <w:rsid w:val="00F4403C"/>
    <w:rsid w:val="00F83B64"/>
    <w:rsid w:val="00F86D89"/>
    <w:rsid w:val="00FB6C19"/>
    <w:rsid w:val="00FB7DB8"/>
    <w:rsid w:val="00FE7295"/>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F8914-BF72-409F-921E-792364BCC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14</Pages>
  <Words>5108</Words>
  <Characters>29121</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81</cp:revision>
  <cp:lastPrinted>2025-03-04T13:50:00Z</cp:lastPrinted>
  <dcterms:created xsi:type="dcterms:W3CDTF">2023-11-07T13:05:00Z</dcterms:created>
  <dcterms:modified xsi:type="dcterms:W3CDTF">2025-03-18T13:06:00Z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